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76" w:lineRule="exact"/>
        <w:ind w:left="0" w:leftChars="0" w:right="0" w:rightChars="0" w:firstLine="0" w:firstLineChars="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bidi w:val="0"/>
        <w:spacing w:line="576" w:lineRule="exact"/>
        <w:ind w:left="0" w:leftChars="0" w:right="0" w:rightChars="0" w:firstLine="0" w:firstLineChars="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bidi w:val="0"/>
        <w:spacing w:line="576" w:lineRule="exact"/>
        <w:ind w:right="0"/>
        <w:jc w:val="left"/>
        <w:textAlignment w:val="auto"/>
        <w:rPr>
          <w:rFonts w:hint="eastAsia" w:ascii="黑体" w:hAnsi="黑体" w:eastAsia="黑体"/>
          <w:sz w:val="32"/>
          <w:szCs w:val="32"/>
        </w:rPr>
      </w:pPr>
      <w:bookmarkStart w:id="0" w:name="_GoBack"/>
      <w:bookmarkEnd w:id="0"/>
      <w:r>
        <w:rPr>
          <w:rFonts w:hint="eastAsia" w:ascii="黑体" w:hAnsi="黑体" w:eastAsia="黑体"/>
          <w:sz w:val="32"/>
          <w:szCs w:val="32"/>
        </w:rPr>
        <w:t>附件2</w:t>
      </w:r>
    </w:p>
    <w:p>
      <w:pPr>
        <w:keepNext w:val="0"/>
        <w:keepLines w:val="0"/>
        <w:pageBreakBefore w:val="0"/>
        <w:widowControl w:val="0"/>
        <w:kinsoku/>
        <w:wordWrap/>
        <w:overflowPunct/>
        <w:topLinePunct w:val="0"/>
        <w:bidi w:val="0"/>
        <w:spacing w:line="576" w:lineRule="exact"/>
        <w:ind w:right="0"/>
        <w:jc w:val="left"/>
        <w:textAlignment w:val="auto"/>
        <w:rPr>
          <w:rFonts w:ascii="黑体" w:hAnsi="黑体" w:eastAsia="黑体"/>
          <w:sz w:val="32"/>
          <w:szCs w:val="32"/>
        </w:rPr>
      </w:pPr>
    </w:p>
    <w:p>
      <w:pPr>
        <w:keepNext w:val="0"/>
        <w:keepLines w:val="0"/>
        <w:pageBreakBefore w:val="0"/>
        <w:widowControl w:val="0"/>
        <w:kinsoku/>
        <w:wordWrap/>
        <w:overflowPunct/>
        <w:topLinePunct w:val="0"/>
        <w:bidi w:val="0"/>
        <w:spacing w:line="576" w:lineRule="exact"/>
        <w:ind w:right="0"/>
        <w:jc w:val="center"/>
        <w:textAlignment w:val="auto"/>
        <w:rPr>
          <w:rFonts w:ascii="方正小标宋简体" w:hAnsi="宋体" w:eastAsia="方正小标宋简体"/>
          <w:sz w:val="44"/>
          <w:szCs w:val="44"/>
        </w:rPr>
      </w:pPr>
      <w:r>
        <w:rPr>
          <w:rFonts w:hint="eastAsia" w:ascii="方正小标宋简体" w:hAnsi="宋体" w:eastAsia="方正小标宋简体"/>
          <w:sz w:val="44"/>
          <w:szCs w:val="44"/>
        </w:rPr>
        <w:t>第三届全球数字贸易博览会简介</w:t>
      </w:r>
    </w:p>
    <w:p>
      <w:pPr>
        <w:keepNext w:val="0"/>
        <w:keepLines w:val="0"/>
        <w:pageBreakBefore w:val="0"/>
        <w:widowControl w:val="0"/>
        <w:kinsoku/>
        <w:wordWrap/>
        <w:overflowPunct/>
        <w:topLinePunct w:val="0"/>
        <w:bidi w:val="0"/>
        <w:spacing w:line="576" w:lineRule="exact"/>
        <w:ind w:right="0"/>
        <w:jc w:val="center"/>
        <w:textAlignment w:val="auto"/>
        <w:rPr>
          <w:rFonts w:ascii="方正小标宋简体" w:hAnsi="宋体" w:eastAsia="方正小标宋简体"/>
          <w:sz w:val="32"/>
          <w:szCs w:val="32"/>
        </w:rPr>
      </w:pPr>
    </w:p>
    <w:p>
      <w:pPr>
        <w:pStyle w:val="9"/>
        <w:keepNext w:val="0"/>
        <w:keepLines w:val="0"/>
        <w:pageBreakBefore w:val="0"/>
        <w:widowControl w:val="0"/>
        <w:kinsoku/>
        <w:wordWrap/>
        <w:overflowPunct/>
        <w:topLinePunct w:val="0"/>
        <w:bidi w:val="0"/>
        <w:spacing w:line="576" w:lineRule="exact"/>
        <w:ind w:right="0" w:firstLine="640"/>
        <w:jc w:val="left"/>
        <w:textAlignment w:val="auto"/>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时间地点</w:t>
      </w:r>
    </w:p>
    <w:p>
      <w:pPr>
        <w:keepNext w:val="0"/>
        <w:keepLines w:val="0"/>
        <w:pageBreakBefore w:val="0"/>
        <w:widowControl w:val="0"/>
        <w:kinsoku/>
        <w:wordWrap/>
        <w:overflowPunct/>
        <w:topLinePunct w:val="0"/>
        <w:bidi w:val="0"/>
        <w:spacing w:line="576" w:lineRule="exact"/>
        <w:ind w:right="0" w:firstLine="640" w:firstLineChars="200"/>
        <w:jc w:val="left"/>
        <w:textAlignment w:val="auto"/>
        <w:rPr>
          <w:rFonts w:ascii="Batang" w:hAnsi="Batang" w:eastAsia="仿宋_GB2312" w:cs="Batang"/>
          <w:sz w:val="32"/>
          <w:szCs w:val="32"/>
        </w:rPr>
      </w:pPr>
      <w:r>
        <w:rPr>
          <w:rFonts w:hint="eastAsia" w:ascii="仿宋_GB2312" w:hAnsi="宋体" w:eastAsia="仿宋_GB2312"/>
          <w:sz w:val="32"/>
          <w:szCs w:val="32"/>
        </w:rPr>
        <w:t>2024年9月25日至29日在杭州大会展中心举办，展会面积超15万</w:t>
      </w:r>
      <w:r>
        <w:rPr>
          <w:rFonts w:ascii="Batang" w:hAnsi="Batang" w:eastAsia="仿宋_GB2312" w:cs="Batang"/>
          <w:sz w:val="32"/>
          <w:szCs w:val="32"/>
        </w:rPr>
        <w:t>㎡</w:t>
      </w:r>
      <w:r>
        <w:rPr>
          <w:rFonts w:hint="eastAsia" w:ascii="Batang" w:hAnsi="Batang" w:eastAsia="仿宋_GB2312" w:cs="Batang"/>
          <w:sz w:val="32"/>
          <w:szCs w:val="32"/>
        </w:rPr>
        <w:t>。</w:t>
      </w:r>
    </w:p>
    <w:p>
      <w:pPr>
        <w:keepNext w:val="0"/>
        <w:keepLines w:val="0"/>
        <w:pageBreakBefore w:val="0"/>
        <w:widowControl w:val="0"/>
        <w:kinsoku/>
        <w:wordWrap/>
        <w:overflowPunct/>
        <w:topLinePunct w:val="0"/>
        <w:bidi w:val="0"/>
        <w:spacing w:line="576" w:lineRule="exact"/>
        <w:ind w:right="0" w:firstLine="640" w:firstLineChars="200"/>
        <w:jc w:val="left"/>
        <w:textAlignment w:val="auto"/>
        <w:rPr>
          <w:rFonts w:ascii="黑体" w:hAnsi="黑体" w:eastAsia="黑体" w:cs="Batang"/>
          <w:sz w:val="32"/>
          <w:szCs w:val="32"/>
        </w:rPr>
      </w:pPr>
      <w:r>
        <w:rPr>
          <w:rFonts w:hint="eastAsia" w:ascii="黑体" w:hAnsi="黑体" w:eastAsia="黑体" w:cs="Batang"/>
          <w:sz w:val="32"/>
          <w:szCs w:val="32"/>
        </w:rPr>
        <w:t>二</w:t>
      </w:r>
      <w:r>
        <w:rPr>
          <w:rFonts w:ascii="黑体" w:hAnsi="黑体" w:eastAsia="黑体" w:cs="Batang"/>
          <w:sz w:val="32"/>
          <w:szCs w:val="32"/>
        </w:rPr>
        <w:t>、展馆设置</w:t>
      </w:r>
    </w:p>
    <w:p>
      <w:pPr>
        <w:keepNext w:val="0"/>
        <w:keepLines w:val="0"/>
        <w:pageBreakBefore w:val="0"/>
        <w:widowControl w:val="0"/>
        <w:kinsoku/>
        <w:wordWrap/>
        <w:overflowPunct/>
        <w:topLinePunct w:val="0"/>
        <w:bidi w:val="0"/>
        <w:spacing w:line="576" w:lineRule="exact"/>
        <w:ind w:right="0" w:firstLine="640" w:firstLineChars="200"/>
        <w:jc w:val="left"/>
        <w:textAlignment w:val="auto"/>
        <w:rPr>
          <w:rFonts w:hint="eastAsia" w:ascii="仿宋_GB2312" w:hAnsi="Batang" w:eastAsia="仿宋_GB2312" w:cs="Batang"/>
          <w:sz w:val="32"/>
          <w:szCs w:val="32"/>
        </w:rPr>
      </w:pPr>
      <w:r>
        <w:rPr>
          <w:rFonts w:hint="eastAsia" w:ascii="仿宋_GB2312" w:hAnsi="Batang" w:eastAsia="仿宋_GB2312" w:cs="Batang"/>
          <w:sz w:val="32"/>
          <w:szCs w:val="32"/>
        </w:rPr>
        <w:t>展会设置1个综合展馆和8个特色数字展馆。</w:t>
      </w:r>
    </w:p>
    <w:p>
      <w:pPr>
        <w:keepNext w:val="0"/>
        <w:keepLines w:val="0"/>
        <w:pageBreakBefore w:val="0"/>
        <w:widowControl w:val="0"/>
        <w:kinsoku/>
        <w:wordWrap/>
        <w:overflowPunct/>
        <w:topLinePunct w:val="0"/>
        <w:bidi w:val="0"/>
        <w:spacing w:line="576" w:lineRule="exact"/>
        <w:ind w:right="0" w:firstLine="640" w:firstLineChars="200"/>
        <w:jc w:val="left"/>
        <w:textAlignment w:val="auto"/>
        <w:rPr>
          <w:rFonts w:hint="eastAsia" w:ascii="仿宋_GB2312" w:hAnsi="宋体" w:eastAsia="仿宋_GB2312"/>
          <w:sz w:val="32"/>
          <w:szCs w:val="32"/>
        </w:rPr>
      </w:pPr>
      <w:r>
        <w:rPr>
          <w:rFonts w:hint="eastAsia" w:ascii="仿宋_GB2312" w:hAnsi="宋体" w:eastAsia="仿宋_GB2312"/>
          <w:sz w:val="32"/>
          <w:szCs w:val="32"/>
        </w:rPr>
        <w:t>综合展馆面积10000平方米，集中展示近年来围绕全球数字贸易领域前沿趋势、最新成果和解决方案的一批新技术、新应用、新模式，展现全球数字领域合作取得的积极进展，和数字贸易发展在推动全球贸易复苏过程中发挥的重要作用。设置了国家展区、主宾国、主宾省市、国际组织、浙江展区和前沿趋势展区，其中，前沿趋势展区将围绕“数据要素×”和“人工智能＋”两大主题，展示全球数字贸易领域发展新趋势、新技术、新产品、新服务、新成果。</w:t>
      </w:r>
    </w:p>
    <w:p>
      <w:pPr>
        <w:keepNext w:val="0"/>
        <w:keepLines w:val="0"/>
        <w:pageBreakBefore w:val="0"/>
        <w:widowControl w:val="0"/>
        <w:kinsoku/>
        <w:wordWrap/>
        <w:overflowPunct/>
        <w:topLinePunct w:val="0"/>
        <w:bidi w:val="0"/>
        <w:spacing w:line="576" w:lineRule="exact"/>
        <w:ind w:right="0" w:firstLine="640" w:firstLineChars="200"/>
        <w:jc w:val="left"/>
        <w:textAlignment w:val="auto"/>
        <w:rPr>
          <w:rFonts w:hint="eastAsia" w:ascii="仿宋_GB2312" w:hAnsi="宋体" w:eastAsia="仿宋_GB2312"/>
          <w:sz w:val="32"/>
          <w:szCs w:val="32"/>
        </w:rPr>
      </w:pPr>
      <w:r>
        <w:rPr>
          <w:rFonts w:hint="eastAsia" w:ascii="仿宋_GB2312" w:hAnsi="宋体" w:eastAsia="仿宋_GB2312"/>
          <w:sz w:val="32"/>
          <w:szCs w:val="32"/>
        </w:rPr>
        <w:t>人工智能馆展馆面积8000平方米，聚焦数字技术推动数字贸易发展新业态，重点展示人工智能研究、新一代通信技术（5G-A/6G）、算法、算力、智能芯片等内容。</w:t>
      </w:r>
    </w:p>
    <w:p>
      <w:pPr>
        <w:keepNext w:val="0"/>
        <w:keepLines w:val="0"/>
        <w:pageBreakBefore w:val="0"/>
        <w:widowControl w:val="0"/>
        <w:kinsoku/>
        <w:wordWrap/>
        <w:overflowPunct/>
        <w:topLinePunct w:val="0"/>
        <w:bidi w:val="0"/>
        <w:spacing w:line="576" w:lineRule="exact"/>
        <w:ind w:right="0"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智慧</w:t>
      </w:r>
      <w:r>
        <w:rPr>
          <w:rFonts w:ascii="仿宋_GB2312" w:hAnsi="宋体" w:eastAsia="仿宋_GB2312"/>
          <w:sz w:val="32"/>
          <w:szCs w:val="32"/>
        </w:rPr>
        <w:t>城市馆</w:t>
      </w:r>
      <w:r>
        <w:rPr>
          <w:rFonts w:hint="eastAsia" w:ascii="仿宋_GB2312" w:hAnsi="宋体" w:eastAsia="仿宋_GB2312"/>
          <w:sz w:val="32"/>
          <w:szCs w:val="32"/>
        </w:rPr>
        <w:t>展馆面积16,000平方米，聚焦城市智慧化变革的路径与案例，重点展示智慧城市建设各行业场景解决方案，展现各行业将创新技术和模式融合实现城市智慧化变革的路径与案例。</w:t>
      </w:r>
    </w:p>
    <w:p>
      <w:pPr>
        <w:keepNext w:val="0"/>
        <w:keepLines w:val="0"/>
        <w:pageBreakBefore w:val="0"/>
        <w:widowControl w:val="0"/>
        <w:kinsoku/>
        <w:wordWrap/>
        <w:overflowPunct/>
        <w:topLinePunct w:val="0"/>
        <w:bidi w:val="0"/>
        <w:spacing w:line="576" w:lineRule="exact"/>
        <w:ind w:right="0"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数字</w:t>
      </w:r>
      <w:r>
        <w:rPr>
          <w:rFonts w:ascii="仿宋_GB2312" w:hAnsi="宋体" w:eastAsia="仿宋_GB2312"/>
          <w:sz w:val="32"/>
          <w:szCs w:val="32"/>
        </w:rPr>
        <w:t>与金融</w:t>
      </w:r>
      <w:r>
        <w:rPr>
          <w:rFonts w:hint="eastAsia" w:ascii="仿宋_GB2312" w:hAnsi="宋体" w:eastAsia="仿宋_GB2312"/>
          <w:sz w:val="32"/>
          <w:szCs w:val="32"/>
        </w:rPr>
        <w:t>馆展馆面积4500平方米，聚焦数字金融和数据贸易，重点展示金融科技、数字支付、数字保险以及数据加工、储存、确权、流通、治理等相关创新场景。</w:t>
      </w:r>
    </w:p>
    <w:p>
      <w:pPr>
        <w:keepNext w:val="0"/>
        <w:keepLines w:val="0"/>
        <w:pageBreakBefore w:val="0"/>
        <w:widowControl w:val="0"/>
        <w:kinsoku/>
        <w:wordWrap/>
        <w:overflowPunct/>
        <w:topLinePunct w:val="0"/>
        <w:bidi w:val="0"/>
        <w:spacing w:line="576" w:lineRule="exact"/>
        <w:ind w:right="0"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数字文娱</w:t>
      </w:r>
      <w:r>
        <w:rPr>
          <w:rFonts w:ascii="仿宋_GB2312" w:hAnsi="宋体" w:eastAsia="仿宋_GB2312"/>
          <w:sz w:val="32"/>
          <w:szCs w:val="32"/>
        </w:rPr>
        <w:t>馆</w:t>
      </w:r>
      <w:r>
        <w:rPr>
          <w:rFonts w:hint="eastAsia" w:ascii="仿宋_GB2312" w:hAnsi="宋体" w:eastAsia="仿宋_GB2312"/>
          <w:sz w:val="32"/>
          <w:szCs w:val="32"/>
        </w:rPr>
        <w:t>展馆面积8000平方米，聚焦数字技术赋能数字内容贸易，重点展示数字文旅、数字游戏、数字影视、数字动漫、数字音乐、数字出版等上下游产业链。</w:t>
      </w:r>
    </w:p>
    <w:p>
      <w:pPr>
        <w:keepNext w:val="0"/>
        <w:keepLines w:val="0"/>
        <w:pageBreakBefore w:val="0"/>
        <w:widowControl w:val="0"/>
        <w:kinsoku/>
        <w:wordWrap/>
        <w:overflowPunct/>
        <w:topLinePunct w:val="0"/>
        <w:bidi w:val="0"/>
        <w:spacing w:line="576" w:lineRule="exact"/>
        <w:ind w:right="0"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数智</w:t>
      </w:r>
      <w:r>
        <w:rPr>
          <w:rFonts w:ascii="仿宋_GB2312" w:hAnsi="宋体" w:eastAsia="仿宋_GB2312"/>
          <w:sz w:val="32"/>
          <w:szCs w:val="32"/>
        </w:rPr>
        <w:t>出行</w:t>
      </w:r>
      <w:r>
        <w:rPr>
          <w:rFonts w:hint="eastAsia" w:ascii="仿宋_GB2312" w:hAnsi="宋体" w:eastAsia="仿宋_GB2312"/>
          <w:sz w:val="32"/>
          <w:szCs w:val="32"/>
        </w:rPr>
        <w:t>馆展馆面积14500平方米，聚焦数字环境下的新型出行以及绿色低碳出行方式，重点围绕数字生态下的新兴出行和绿色低碳出行方式，展示数字化赋能汽车产业出海、数字车联、城市低空飞行、绿色能源等内容。</w:t>
      </w:r>
    </w:p>
    <w:p>
      <w:pPr>
        <w:keepNext w:val="0"/>
        <w:keepLines w:val="0"/>
        <w:pageBreakBefore w:val="0"/>
        <w:widowControl w:val="0"/>
        <w:kinsoku/>
        <w:wordWrap/>
        <w:overflowPunct/>
        <w:topLinePunct w:val="0"/>
        <w:bidi w:val="0"/>
        <w:spacing w:line="576" w:lineRule="exact"/>
        <w:ind w:right="0"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数字医疗馆展馆面积16000平方米，聚焦数字赋能大健康，重点展示AI技术、人工智能在医疗产业链中的应用。</w:t>
      </w:r>
    </w:p>
    <w:p>
      <w:pPr>
        <w:keepNext w:val="0"/>
        <w:keepLines w:val="0"/>
        <w:pageBreakBefore w:val="0"/>
        <w:widowControl w:val="0"/>
        <w:kinsoku/>
        <w:wordWrap/>
        <w:overflowPunct/>
        <w:topLinePunct w:val="0"/>
        <w:bidi w:val="0"/>
        <w:spacing w:line="576" w:lineRule="exact"/>
        <w:ind w:right="0" w:firstLine="640" w:firstLineChars="200"/>
        <w:jc w:val="left"/>
        <w:textAlignment w:val="auto"/>
        <w:rPr>
          <w:rFonts w:hint="eastAsia" w:ascii="黑体" w:hAnsi="黑体" w:eastAsia="黑体"/>
          <w:sz w:val="32"/>
          <w:szCs w:val="32"/>
        </w:rPr>
      </w:pPr>
      <w:r>
        <w:rPr>
          <w:rFonts w:hint="eastAsia" w:ascii="仿宋_GB2312" w:hAnsi="宋体" w:eastAsia="仿宋_GB2312"/>
          <w:sz w:val="32"/>
          <w:szCs w:val="32"/>
        </w:rPr>
        <w:t>消费</w:t>
      </w:r>
      <w:r>
        <w:rPr>
          <w:rFonts w:ascii="仿宋_GB2312" w:hAnsi="宋体" w:eastAsia="仿宋_GB2312"/>
          <w:sz w:val="32"/>
          <w:szCs w:val="32"/>
        </w:rPr>
        <w:t>电子</w:t>
      </w:r>
      <w:r>
        <w:rPr>
          <w:rFonts w:hint="eastAsia" w:ascii="仿宋_GB2312" w:hAnsi="宋体" w:eastAsia="仿宋_GB2312"/>
          <w:sz w:val="32"/>
          <w:szCs w:val="32"/>
        </w:rPr>
        <w:t>馆展馆面积32000平方米，聚焦新技术驱动下的未来生活，重点展示消费终端的新趋势、新产品、新品牌与新场景等内容。</w:t>
      </w:r>
      <w:r>
        <w:rPr>
          <w:rFonts w:ascii="仿宋_GB2312" w:hAnsi="宋体" w:eastAsia="仿宋_GB2312"/>
          <w:sz w:val="32"/>
          <w:szCs w:val="32"/>
        </w:rPr>
        <w:br w:type="page"/>
      </w:r>
      <w:r>
        <w:rPr>
          <w:rFonts w:hint="eastAsia" w:ascii="黑体" w:hAnsi="黑体" w:eastAsia="黑体"/>
          <w:sz w:val="32"/>
          <w:szCs w:val="32"/>
        </w:rPr>
        <w:t>附件</w:t>
      </w:r>
      <w:r>
        <w:rPr>
          <w:rFonts w:ascii="黑体" w:hAnsi="黑体" w:eastAsia="黑体"/>
          <w:sz w:val="32"/>
          <w:szCs w:val="32"/>
        </w:rPr>
        <w:t>4</w:t>
      </w:r>
    </w:p>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方正小标宋简体" w:eastAsia="方正小标宋简体"/>
          <w:sz w:val="44"/>
          <w:szCs w:val="44"/>
        </w:rPr>
      </w:pPr>
    </w:p>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方正小标宋简体" w:eastAsia="方正小标宋简体"/>
          <w:sz w:val="44"/>
          <w:szCs w:val="44"/>
        </w:rPr>
      </w:pPr>
      <w:r>
        <w:rPr>
          <w:rFonts w:hint="eastAsia" w:ascii="方正小标宋简体" w:eastAsia="方正小标宋简体"/>
          <w:sz w:val="44"/>
          <w:szCs w:val="44"/>
        </w:rPr>
        <w:t>服贸会各市推荐参展企业情况</w:t>
      </w:r>
    </w:p>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方正小标宋简体" w:eastAsia="方正小标宋简体"/>
          <w:sz w:val="44"/>
          <w:szCs w:val="44"/>
        </w:rPr>
      </w:pPr>
    </w:p>
    <w:p>
      <w:pPr>
        <w:keepNext w:val="0"/>
        <w:keepLines w:val="0"/>
        <w:pageBreakBefore w:val="0"/>
        <w:widowControl w:val="0"/>
        <w:kinsoku/>
        <w:wordWrap/>
        <w:overflowPunct/>
        <w:topLinePunct w:val="0"/>
        <w:bidi w:val="0"/>
        <w:adjustRightInd w:val="0"/>
        <w:snapToGrid w:val="0"/>
        <w:spacing w:line="576" w:lineRule="exact"/>
        <w:ind w:right="0"/>
        <w:jc w:val="left"/>
        <w:textAlignment w:val="auto"/>
        <w:rPr>
          <w:rFonts w:ascii="仿宋_GB2312" w:eastAsia="仿宋_GB2312"/>
          <w:sz w:val="24"/>
          <w:szCs w:val="24"/>
        </w:rPr>
      </w:pPr>
      <w:r>
        <w:rPr>
          <w:rFonts w:hint="eastAsia" w:ascii="仿宋_GB2312" w:eastAsia="仿宋_GB2312"/>
          <w:sz w:val="24"/>
          <w:szCs w:val="24"/>
        </w:rPr>
        <w:t>填报单位及联系人联系</w:t>
      </w:r>
      <w:r>
        <w:rPr>
          <w:rFonts w:ascii="仿宋_GB2312" w:eastAsia="仿宋_GB2312"/>
          <w:sz w:val="24"/>
          <w:szCs w:val="24"/>
        </w:rPr>
        <w:t>电话</w:t>
      </w:r>
      <w:r>
        <w:rPr>
          <w:rFonts w:hint="eastAsia" w:ascii="仿宋_GB2312" w:eastAsia="仿宋_GB2312"/>
          <w:sz w:val="24"/>
          <w:szCs w:val="24"/>
        </w:rPr>
        <w:t>：</w:t>
      </w:r>
    </w:p>
    <w:tbl>
      <w:tblPr>
        <w:tblStyle w:val="5"/>
        <w:tblW w:w="52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541"/>
        <w:gridCol w:w="1536"/>
        <w:gridCol w:w="1178"/>
        <w:gridCol w:w="1588"/>
        <w:gridCol w:w="1956"/>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85"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sz w:val="24"/>
                <w:szCs w:val="24"/>
              </w:rPr>
            </w:pPr>
            <w:r>
              <w:rPr>
                <w:rFonts w:hint="eastAsia" w:ascii="黑体" w:hAnsi="黑体" w:eastAsia="黑体"/>
                <w:sz w:val="24"/>
                <w:szCs w:val="24"/>
              </w:rPr>
              <w:t>序号</w:t>
            </w:r>
          </w:p>
        </w:tc>
        <w:tc>
          <w:tcPr>
            <w:tcW w:w="822"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sz w:val="24"/>
                <w:szCs w:val="24"/>
              </w:rPr>
            </w:pPr>
            <w:r>
              <w:rPr>
                <w:rFonts w:hint="eastAsia" w:ascii="黑体" w:hAnsi="黑体" w:eastAsia="黑体"/>
                <w:sz w:val="24"/>
                <w:szCs w:val="24"/>
              </w:rPr>
              <w:t>单位</w:t>
            </w:r>
            <w:r>
              <w:rPr>
                <w:rFonts w:ascii="黑体" w:hAnsi="黑体" w:eastAsia="黑体"/>
                <w:sz w:val="24"/>
                <w:szCs w:val="24"/>
              </w:rPr>
              <w:t>名称</w:t>
            </w:r>
          </w:p>
        </w:tc>
        <w:tc>
          <w:tcPr>
            <w:tcW w:w="819"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sz w:val="24"/>
                <w:szCs w:val="24"/>
              </w:rPr>
            </w:pPr>
            <w:r>
              <w:rPr>
                <w:rFonts w:hint="eastAsia" w:ascii="黑体" w:hAnsi="黑体" w:eastAsia="黑体"/>
                <w:sz w:val="24"/>
                <w:szCs w:val="24"/>
              </w:rPr>
              <w:t>参展</w:t>
            </w:r>
          </w:p>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sz w:val="24"/>
                <w:szCs w:val="24"/>
              </w:rPr>
            </w:pPr>
            <w:r>
              <w:rPr>
                <w:rFonts w:ascii="黑体" w:hAnsi="黑体" w:eastAsia="黑体"/>
                <w:sz w:val="24"/>
                <w:szCs w:val="24"/>
              </w:rPr>
              <w:t>主要内容</w:t>
            </w:r>
          </w:p>
        </w:tc>
        <w:tc>
          <w:tcPr>
            <w:tcW w:w="628"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sz w:val="24"/>
                <w:szCs w:val="24"/>
              </w:rPr>
            </w:pPr>
            <w:r>
              <w:rPr>
                <w:rFonts w:hint="eastAsia" w:ascii="黑体" w:hAnsi="黑体" w:eastAsia="黑体"/>
                <w:sz w:val="24"/>
                <w:szCs w:val="24"/>
              </w:rPr>
              <w:t>参展</w:t>
            </w:r>
            <w:r>
              <w:rPr>
                <w:rFonts w:ascii="黑体" w:hAnsi="黑体" w:eastAsia="黑体"/>
                <w:sz w:val="24"/>
                <w:szCs w:val="24"/>
              </w:rPr>
              <w:t>形式</w:t>
            </w:r>
          </w:p>
        </w:tc>
        <w:tc>
          <w:tcPr>
            <w:tcW w:w="847"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sz w:val="24"/>
                <w:szCs w:val="24"/>
              </w:rPr>
            </w:pPr>
            <w:r>
              <w:rPr>
                <w:rFonts w:hint="eastAsia" w:ascii="黑体" w:hAnsi="黑体" w:eastAsia="黑体"/>
                <w:sz w:val="24"/>
                <w:szCs w:val="24"/>
              </w:rPr>
              <w:t>所属领域</w:t>
            </w:r>
          </w:p>
        </w:tc>
        <w:tc>
          <w:tcPr>
            <w:tcW w:w="1043"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sz w:val="24"/>
                <w:szCs w:val="24"/>
              </w:rPr>
            </w:pPr>
            <w:r>
              <w:rPr>
                <w:rFonts w:hint="eastAsia" w:ascii="黑体" w:hAnsi="黑体" w:eastAsia="黑体"/>
                <w:sz w:val="24"/>
                <w:szCs w:val="24"/>
              </w:rPr>
              <w:t>联系人姓名、</w:t>
            </w:r>
          </w:p>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sz w:val="24"/>
                <w:szCs w:val="24"/>
              </w:rPr>
            </w:pPr>
            <w:r>
              <w:rPr>
                <w:rFonts w:hint="eastAsia" w:ascii="黑体" w:hAnsi="黑体" w:eastAsia="黑体"/>
                <w:sz w:val="24"/>
                <w:szCs w:val="24"/>
              </w:rPr>
              <w:t>职务</w:t>
            </w:r>
            <w:r>
              <w:rPr>
                <w:rFonts w:ascii="黑体" w:hAnsi="黑体" w:eastAsia="黑体"/>
                <w:sz w:val="24"/>
                <w:szCs w:val="24"/>
              </w:rPr>
              <w:t>及联系方式</w:t>
            </w:r>
          </w:p>
        </w:tc>
        <w:tc>
          <w:tcPr>
            <w:tcW w:w="457"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85"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822"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819"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628"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847"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1043"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457"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85"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822"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819"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628"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847"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1043"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457"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85"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822"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819"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628"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847"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1043"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457"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r>
    </w:tbl>
    <w:p>
      <w:pPr>
        <w:keepNext w:val="0"/>
        <w:keepLines w:val="0"/>
        <w:pageBreakBefore w:val="0"/>
        <w:widowControl w:val="0"/>
        <w:kinsoku/>
        <w:wordWrap/>
        <w:overflowPunct/>
        <w:topLinePunct w:val="0"/>
        <w:bidi w:val="0"/>
        <w:adjustRightInd w:val="0"/>
        <w:snapToGrid w:val="0"/>
        <w:spacing w:line="576" w:lineRule="exact"/>
        <w:ind w:right="0" w:firstLine="480" w:firstLineChars="200"/>
        <w:textAlignment w:val="auto"/>
        <w:rPr>
          <w:rFonts w:hint="eastAsia" w:ascii="仿宋_GB2312" w:eastAsia="仿宋_GB2312"/>
          <w:sz w:val="24"/>
          <w:szCs w:val="24"/>
        </w:rPr>
      </w:pPr>
    </w:p>
    <w:p>
      <w:pPr>
        <w:keepNext w:val="0"/>
        <w:keepLines w:val="0"/>
        <w:pageBreakBefore w:val="0"/>
        <w:widowControl w:val="0"/>
        <w:kinsoku/>
        <w:wordWrap/>
        <w:overflowPunct/>
        <w:topLinePunct w:val="0"/>
        <w:bidi w:val="0"/>
        <w:adjustRightInd w:val="0"/>
        <w:snapToGrid w:val="0"/>
        <w:spacing w:line="576" w:lineRule="exact"/>
        <w:ind w:right="0" w:firstLine="480" w:firstLineChars="200"/>
        <w:textAlignment w:val="auto"/>
        <w:rPr>
          <w:rFonts w:ascii="仿宋_GB2312" w:eastAsia="仿宋_GB2312"/>
          <w:sz w:val="24"/>
          <w:szCs w:val="24"/>
        </w:rPr>
      </w:pPr>
      <w:r>
        <w:rPr>
          <w:rFonts w:hint="eastAsia" w:ascii="仿宋_GB2312" w:eastAsia="仿宋_GB2312"/>
          <w:sz w:val="24"/>
          <w:szCs w:val="24"/>
        </w:rPr>
        <w:t>备注</w:t>
      </w:r>
      <w:r>
        <w:rPr>
          <w:rFonts w:ascii="仿宋_GB2312" w:eastAsia="仿宋_GB2312"/>
          <w:sz w:val="24"/>
          <w:szCs w:val="24"/>
        </w:rPr>
        <w:t>：</w:t>
      </w:r>
      <w:r>
        <w:rPr>
          <w:rFonts w:hint="eastAsia" w:ascii="仿宋_GB2312" w:eastAsia="仿宋_GB2312"/>
          <w:sz w:val="24"/>
          <w:szCs w:val="24"/>
        </w:rPr>
        <w:t>1.所属领域包含</w:t>
      </w:r>
      <w:r>
        <w:rPr>
          <w:rFonts w:ascii="仿宋_GB2312" w:eastAsia="仿宋_GB2312"/>
          <w:sz w:val="24"/>
          <w:szCs w:val="24"/>
        </w:rPr>
        <w:t>：文化、技术、数字、海洋和特色服务出口基地</w:t>
      </w:r>
      <w:r>
        <w:rPr>
          <w:rFonts w:hint="eastAsia" w:ascii="仿宋_GB2312" w:eastAsia="仿宋_GB2312"/>
          <w:sz w:val="24"/>
          <w:szCs w:val="24"/>
        </w:rPr>
        <w:t>等</w:t>
      </w:r>
      <w:r>
        <w:rPr>
          <w:rFonts w:ascii="仿宋_GB2312" w:eastAsia="仿宋_GB2312"/>
          <w:sz w:val="24"/>
          <w:szCs w:val="24"/>
        </w:rPr>
        <w:t>（</w:t>
      </w:r>
      <w:r>
        <w:rPr>
          <w:rFonts w:hint="eastAsia" w:ascii="仿宋_GB2312" w:eastAsia="仿宋_GB2312"/>
          <w:sz w:val="24"/>
          <w:szCs w:val="24"/>
        </w:rPr>
        <w:t>不好归类</w:t>
      </w:r>
      <w:r>
        <w:rPr>
          <w:rFonts w:ascii="仿宋_GB2312" w:eastAsia="仿宋_GB2312"/>
          <w:sz w:val="24"/>
          <w:szCs w:val="24"/>
        </w:rPr>
        <w:t>可以先行报送）</w:t>
      </w:r>
      <w:r>
        <w:rPr>
          <w:rFonts w:hint="eastAsia" w:ascii="仿宋_GB2312" w:eastAsia="仿宋_GB2312"/>
          <w:sz w:val="24"/>
          <w:szCs w:val="24"/>
        </w:rPr>
        <w:t>。</w:t>
      </w:r>
      <w:r>
        <w:rPr>
          <w:rFonts w:ascii="仿宋_GB2312" w:eastAsia="仿宋_GB2312"/>
          <w:sz w:val="24"/>
          <w:szCs w:val="24"/>
        </w:rPr>
        <w:t>2.</w:t>
      </w:r>
      <w:r>
        <w:rPr>
          <w:rFonts w:hint="eastAsia" w:ascii="仿宋_GB2312" w:eastAsia="仿宋_GB2312"/>
          <w:sz w:val="24"/>
          <w:szCs w:val="24"/>
        </w:rPr>
        <w:t>参展</w:t>
      </w:r>
      <w:r>
        <w:rPr>
          <w:rFonts w:ascii="仿宋_GB2312" w:eastAsia="仿宋_GB2312"/>
          <w:sz w:val="24"/>
          <w:szCs w:val="24"/>
        </w:rPr>
        <w:t>形式主要包含</w:t>
      </w:r>
      <w:r>
        <w:rPr>
          <w:rFonts w:hint="eastAsia" w:ascii="仿宋_GB2312" w:eastAsia="仿宋_GB2312"/>
          <w:sz w:val="24"/>
          <w:szCs w:val="24"/>
        </w:rPr>
        <w:t>：实物</w:t>
      </w:r>
      <w:r>
        <w:rPr>
          <w:rFonts w:ascii="仿宋_GB2312" w:eastAsia="仿宋_GB2312"/>
          <w:sz w:val="24"/>
          <w:szCs w:val="24"/>
        </w:rPr>
        <w:t>产品</w:t>
      </w:r>
      <w:r>
        <w:rPr>
          <w:rFonts w:hint="eastAsia" w:ascii="仿宋_GB2312" w:eastAsia="仿宋_GB2312"/>
          <w:sz w:val="24"/>
          <w:szCs w:val="24"/>
        </w:rPr>
        <w:t>（具体</w:t>
      </w:r>
      <w:r>
        <w:rPr>
          <w:rFonts w:ascii="仿宋_GB2312" w:eastAsia="仿宋_GB2312"/>
          <w:sz w:val="24"/>
          <w:szCs w:val="24"/>
        </w:rPr>
        <w:t>写</w:t>
      </w:r>
      <w:r>
        <w:rPr>
          <w:rFonts w:hint="eastAsia" w:ascii="仿宋_GB2312" w:eastAsia="仿宋_GB2312"/>
          <w:sz w:val="24"/>
          <w:szCs w:val="24"/>
        </w:rPr>
        <w:t>明</w:t>
      </w:r>
      <w:r>
        <w:rPr>
          <w:rFonts w:ascii="仿宋_GB2312" w:eastAsia="仿宋_GB2312"/>
          <w:sz w:val="24"/>
          <w:szCs w:val="24"/>
        </w:rPr>
        <w:t>展品名称）、展板、视频资料等</w:t>
      </w:r>
    </w:p>
    <w:p>
      <w:pPr>
        <w:keepNext w:val="0"/>
        <w:keepLines w:val="0"/>
        <w:pageBreakBefore w:val="0"/>
        <w:widowControl w:val="0"/>
        <w:kinsoku/>
        <w:wordWrap/>
        <w:overflowPunct/>
        <w:topLinePunct w:val="0"/>
        <w:bidi w:val="0"/>
        <w:spacing w:line="576" w:lineRule="exact"/>
        <w:ind w:right="0"/>
        <w:jc w:val="left"/>
        <w:textAlignment w:val="auto"/>
        <w:rPr>
          <w:rFonts w:ascii="仿宋_GB2312" w:eastAsia="仿宋_GB2312"/>
          <w:sz w:val="32"/>
          <w:szCs w:val="32"/>
        </w:rPr>
      </w:pPr>
    </w:p>
    <w:p>
      <w:pPr>
        <w:keepNext w:val="0"/>
        <w:keepLines w:val="0"/>
        <w:pageBreakBefore w:val="0"/>
        <w:widowControl w:val="0"/>
        <w:kinsoku/>
        <w:wordWrap/>
        <w:overflowPunct/>
        <w:topLinePunct w:val="0"/>
        <w:bidi w:val="0"/>
        <w:spacing w:line="576" w:lineRule="exact"/>
        <w:ind w:right="0"/>
        <w:jc w:val="left"/>
        <w:textAlignment w:val="auto"/>
        <w:rPr>
          <w:rFonts w:hint="eastAsia" w:ascii="黑体" w:hAnsi="黑体" w:eastAsia="黑体"/>
          <w:sz w:val="32"/>
          <w:szCs w:val="32"/>
        </w:rPr>
      </w:pPr>
    </w:p>
    <w:p>
      <w:pPr>
        <w:keepNext w:val="0"/>
        <w:keepLines w:val="0"/>
        <w:pageBreakBefore w:val="0"/>
        <w:widowControl w:val="0"/>
        <w:kinsoku/>
        <w:wordWrap/>
        <w:overflowPunct/>
        <w:topLinePunct w:val="0"/>
        <w:bidi w:val="0"/>
        <w:spacing w:line="576" w:lineRule="exact"/>
        <w:ind w:right="0"/>
        <w:jc w:val="left"/>
        <w:textAlignment w:val="auto"/>
        <w:rPr>
          <w:rFonts w:ascii="黑体" w:hAnsi="黑体" w:eastAsia="黑体"/>
          <w:sz w:val="32"/>
          <w:szCs w:val="32"/>
        </w:rPr>
      </w:pPr>
      <w:r>
        <w:rPr>
          <w:rFonts w:ascii="黑体" w:hAnsi="黑体" w:eastAsia="黑体"/>
          <w:sz w:val="32"/>
          <w:szCs w:val="32"/>
        </w:rPr>
        <w:br w:type="page"/>
      </w:r>
    </w:p>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方正小标宋简体" w:eastAsia="方正小标宋简体"/>
          <w:sz w:val="44"/>
          <w:szCs w:val="44"/>
        </w:rPr>
      </w:pPr>
      <w:r>
        <w:rPr>
          <w:rFonts w:hint="eastAsia" w:ascii="方正小标宋简体" w:eastAsia="方正小标宋简体"/>
          <w:sz w:val="44"/>
          <w:szCs w:val="44"/>
        </w:rPr>
        <w:t>数贸会各市推荐参展企业情况</w:t>
      </w:r>
    </w:p>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方正小标宋简体" w:eastAsia="方正小标宋简体"/>
          <w:sz w:val="44"/>
          <w:szCs w:val="44"/>
        </w:rPr>
      </w:pPr>
    </w:p>
    <w:p>
      <w:pPr>
        <w:keepNext w:val="0"/>
        <w:keepLines w:val="0"/>
        <w:pageBreakBefore w:val="0"/>
        <w:widowControl w:val="0"/>
        <w:kinsoku/>
        <w:wordWrap/>
        <w:overflowPunct/>
        <w:topLinePunct w:val="0"/>
        <w:bidi w:val="0"/>
        <w:adjustRightInd w:val="0"/>
        <w:snapToGrid w:val="0"/>
        <w:spacing w:line="576" w:lineRule="exact"/>
        <w:ind w:right="0"/>
        <w:jc w:val="left"/>
        <w:textAlignment w:val="auto"/>
        <w:rPr>
          <w:rFonts w:ascii="仿宋_GB2312" w:eastAsia="仿宋_GB2312"/>
          <w:sz w:val="24"/>
          <w:szCs w:val="24"/>
        </w:rPr>
      </w:pPr>
      <w:r>
        <w:rPr>
          <w:rFonts w:hint="eastAsia" w:ascii="仿宋_GB2312" w:eastAsia="仿宋_GB2312"/>
          <w:sz w:val="24"/>
          <w:szCs w:val="24"/>
        </w:rPr>
        <w:t>填报单位及联系人、</w:t>
      </w:r>
      <w:r>
        <w:rPr>
          <w:rFonts w:ascii="仿宋_GB2312" w:eastAsia="仿宋_GB2312"/>
          <w:sz w:val="24"/>
          <w:szCs w:val="24"/>
        </w:rPr>
        <w:t>联系电话</w:t>
      </w:r>
      <w:r>
        <w:rPr>
          <w:rFonts w:hint="eastAsia" w:ascii="仿宋_GB2312" w:eastAsia="仿宋_GB2312"/>
          <w:sz w:val="24"/>
          <w:szCs w:val="24"/>
        </w:rPr>
        <w:t>：</w:t>
      </w:r>
    </w:p>
    <w:tbl>
      <w:tblPr>
        <w:tblStyle w:val="5"/>
        <w:tblW w:w="52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565"/>
        <w:gridCol w:w="1563"/>
        <w:gridCol w:w="1183"/>
        <w:gridCol w:w="1616"/>
        <w:gridCol w:w="195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86"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sz w:val="24"/>
                <w:szCs w:val="24"/>
              </w:rPr>
            </w:pPr>
            <w:r>
              <w:rPr>
                <w:rFonts w:hint="eastAsia" w:ascii="黑体" w:hAnsi="黑体" w:eastAsia="黑体"/>
                <w:sz w:val="24"/>
                <w:szCs w:val="24"/>
              </w:rPr>
              <w:t>序号</w:t>
            </w:r>
          </w:p>
        </w:tc>
        <w:tc>
          <w:tcPr>
            <w:tcW w:w="828"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sz w:val="24"/>
                <w:szCs w:val="24"/>
              </w:rPr>
            </w:pPr>
            <w:r>
              <w:rPr>
                <w:rFonts w:hint="eastAsia" w:ascii="黑体" w:hAnsi="黑体" w:eastAsia="黑体"/>
                <w:sz w:val="24"/>
                <w:szCs w:val="24"/>
              </w:rPr>
              <w:t>单位</w:t>
            </w:r>
            <w:r>
              <w:rPr>
                <w:rFonts w:ascii="黑体" w:hAnsi="黑体" w:eastAsia="黑体"/>
                <w:sz w:val="24"/>
                <w:szCs w:val="24"/>
              </w:rPr>
              <w:t>名称</w:t>
            </w:r>
          </w:p>
        </w:tc>
        <w:tc>
          <w:tcPr>
            <w:tcW w:w="827"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sz w:val="24"/>
                <w:szCs w:val="24"/>
              </w:rPr>
            </w:pPr>
            <w:r>
              <w:rPr>
                <w:rFonts w:hint="eastAsia" w:ascii="黑体" w:hAnsi="黑体" w:eastAsia="黑体"/>
                <w:sz w:val="24"/>
                <w:szCs w:val="24"/>
              </w:rPr>
              <w:t>参展</w:t>
            </w:r>
          </w:p>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sz w:val="24"/>
                <w:szCs w:val="24"/>
              </w:rPr>
            </w:pPr>
            <w:r>
              <w:rPr>
                <w:rFonts w:ascii="黑体" w:hAnsi="黑体" w:eastAsia="黑体"/>
                <w:sz w:val="24"/>
                <w:szCs w:val="24"/>
              </w:rPr>
              <w:t>主要内容</w:t>
            </w:r>
          </w:p>
        </w:tc>
        <w:tc>
          <w:tcPr>
            <w:tcW w:w="626"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sz w:val="24"/>
                <w:szCs w:val="24"/>
              </w:rPr>
            </w:pPr>
            <w:r>
              <w:rPr>
                <w:rFonts w:hint="eastAsia" w:ascii="黑体" w:hAnsi="黑体" w:eastAsia="黑体"/>
                <w:sz w:val="24"/>
                <w:szCs w:val="24"/>
              </w:rPr>
              <w:t>参展</w:t>
            </w:r>
            <w:r>
              <w:rPr>
                <w:rFonts w:ascii="黑体" w:hAnsi="黑体" w:eastAsia="黑体"/>
                <w:sz w:val="24"/>
                <w:szCs w:val="24"/>
              </w:rPr>
              <w:t>形式</w:t>
            </w:r>
          </w:p>
        </w:tc>
        <w:tc>
          <w:tcPr>
            <w:tcW w:w="855"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sz w:val="24"/>
                <w:szCs w:val="24"/>
              </w:rPr>
            </w:pPr>
            <w:r>
              <w:rPr>
                <w:rFonts w:hint="eastAsia" w:ascii="黑体" w:hAnsi="黑体" w:eastAsia="黑体"/>
                <w:sz w:val="24"/>
                <w:szCs w:val="24"/>
              </w:rPr>
              <w:t>所属领域</w:t>
            </w:r>
          </w:p>
        </w:tc>
        <w:tc>
          <w:tcPr>
            <w:tcW w:w="1034"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sz w:val="24"/>
                <w:szCs w:val="24"/>
              </w:rPr>
            </w:pPr>
            <w:r>
              <w:rPr>
                <w:rFonts w:hint="eastAsia" w:ascii="黑体" w:hAnsi="黑体" w:eastAsia="黑体"/>
                <w:sz w:val="24"/>
                <w:szCs w:val="24"/>
              </w:rPr>
              <w:t>联系人姓名、</w:t>
            </w:r>
          </w:p>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sz w:val="24"/>
                <w:szCs w:val="24"/>
              </w:rPr>
            </w:pPr>
            <w:r>
              <w:rPr>
                <w:rFonts w:hint="eastAsia" w:ascii="黑体" w:hAnsi="黑体" w:eastAsia="黑体"/>
                <w:sz w:val="24"/>
                <w:szCs w:val="24"/>
              </w:rPr>
              <w:t>职务</w:t>
            </w:r>
            <w:r>
              <w:rPr>
                <w:rFonts w:ascii="黑体" w:hAnsi="黑体" w:eastAsia="黑体"/>
                <w:sz w:val="24"/>
                <w:szCs w:val="24"/>
              </w:rPr>
              <w:t>及联系方式</w:t>
            </w:r>
          </w:p>
        </w:tc>
        <w:tc>
          <w:tcPr>
            <w:tcW w:w="444"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86"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828"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827"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626"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855"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1034"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444"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86"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828"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827"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626"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855"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1034"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444"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86"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828"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827"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626"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855"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1034"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444"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r>
    </w:tbl>
    <w:p>
      <w:pPr>
        <w:keepNext w:val="0"/>
        <w:keepLines w:val="0"/>
        <w:pageBreakBefore w:val="0"/>
        <w:widowControl w:val="0"/>
        <w:kinsoku/>
        <w:wordWrap/>
        <w:overflowPunct/>
        <w:topLinePunct w:val="0"/>
        <w:bidi w:val="0"/>
        <w:adjustRightInd w:val="0"/>
        <w:snapToGrid w:val="0"/>
        <w:spacing w:line="576" w:lineRule="exact"/>
        <w:ind w:right="0" w:firstLine="480" w:firstLineChars="200"/>
        <w:textAlignment w:val="auto"/>
        <w:rPr>
          <w:rFonts w:hint="eastAsia" w:ascii="仿宋_GB2312" w:eastAsia="仿宋_GB2312"/>
          <w:sz w:val="24"/>
          <w:szCs w:val="24"/>
        </w:rPr>
      </w:pPr>
    </w:p>
    <w:p>
      <w:pPr>
        <w:keepNext w:val="0"/>
        <w:keepLines w:val="0"/>
        <w:pageBreakBefore w:val="0"/>
        <w:widowControl w:val="0"/>
        <w:kinsoku/>
        <w:wordWrap/>
        <w:overflowPunct/>
        <w:topLinePunct w:val="0"/>
        <w:bidi w:val="0"/>
        <w:adjustRightInd w:val="0"/>
        <w:snapToGrid w:val="0"/>
        <w:spacing w:line="576" w:lineRule="exact"/>
        <w:ind w:right="0" w:firstLine="480" w:firstLineChars="200"/>
        <w:textAlignment w:val="auto"/>
        <w:rPr>
          <w:rFonts w:hint="eastAsia" w:ascii="仿宋_GB2312" w:eastAsia="仿宋_GB2312"/>
          <w:sz w:val="24"/>
          <w:szCs w:val="24"/>
          <w:lang w:eastAsia="zh-CN"/>
        </w:rPr>
        <w:sectPr>
          <w:headerReference r:id="rId3" w:type="default"/>
          <w:footerReference r:id="rId4" w:type="default"/>
          <w:pgSz w:w="11906" w:h="16838"/>
          <w:pgMar w:top="2098" w:right="1588" w:bottom="1814" w:left="1588" w:header="851" w:footer="1418" w:gutter="0"/>
          <w:cols w:space="720" w:num="1"/>
          <w:docGrid w:linePitch="312" w:charSpace="0"/>
        </w:sectPr>
      </w:pPr>
      <w:r>
        <w:rPr>
          <w:rFonts w:hint="eastAsia" w:ascii="仿宋_GB2312" w:eastAsia="仿宋_GB2312"/>
          <w:sz w:val="24"/>
          <w:szCs w:val="24"/>
        </w:rPr>
        <w:t>备注</w:t>
      </w:r>
      <w:r>
        <w:rPr>
          <w:rFonts w:ascii="仿宋_GB2312" w:eastAsia="仿宋_GB2312"/>
          <w:sz w:val="24"/>
          <w:szCs w:val="24"/>
        </w:rPr>
        <w:t>：</w:t>
      </w:r>
      <w:r>
        <w:rPr>
          <w:rFonts w:hint="eastAsia" w:ascii="仿宋_GB2312" w:eastAsia="仿宋_GB2312"/>
          <w:sz w:val="24"/>
          <w:szCs w:val="24"/>
        </w:rPr>
        <w:t>1.所属领域包含</w:t>
      </w:r>
      <w:r>
        <w:rPr>
          <w:rFonts w:ascii="仿宋_GB2312" w:eastAsia="仿宋_GB2312"/>
          <w:sz w:val="24"/>
          <w:szCs w:val="24"/>
        </w:rPr>
        <w:t>：</w:t>
      </w:r>
      <w:r>
        <w:rPr>
          <w:rFonts w:hint="eastAsia" w:ascii="仿宋_GB2312" w:eastAsia="仿宋_GB2312"/>
          <w:sz w:val="24"/>
          <w:szCs w:val="24"/>
        </w:rPr>
        <w:t>数字</w:t>
      </w:r>
      <w:r>
        <w:rPr>
          <w:rFonts w:ascii="仿宋_GB2312" w:eastAsia="仿宋_GB2312"/>
          <w:sz w:val="24"/>
          <w:szCs w:val="24"/>
        </w:rPr>
        <w:t>文化、</w:t>
      </w:r>
      <w:r>
        <w:rPr>
          <w:rFonts w:hint="eastAsia" w:ascii="仿宋_GB2312" w:eastAsia="仿宋_GB2312"/>
          <w:sz w:val="24"/>
          <w:szCs w:val="24"/>
        </w:rPr>
        <w:t>高端制造</w:t>
      </w:r>
      <w:r>
        <w:rPr>
          <w:rFonts w:ascii="仿宋_GB2312" w:eastAsia="仿宋_GB2312"/>
          <w:sz w:val="24"/>
          <w:szCs w:val="24"/>
        </w:rPr>
        <w:t>、数字海洋和特色服务出口基地</w:t>
      </w:r>
      <w:r>
        <w:rPr>
          <w:rFonts w:hint="eastAsia" w:ascii="仿宋_GB2312" w:eastAsia="仿宋_GB2312"/>
          <w:sz w:val="24"/>
          <w:szCs w:val="24"/>
        </w:rPr>
        <w:t>等（不好归类</w:t>
      </w:r>
      <w:r>
        <w:rPr>
          <w:rFonts w:ascii="仿宋_GB2312" w:eastAsia="仿宋_GB2312"/>
          <w:sz w:val="24"/>
          <w:szCs w:val="24"/>
        </w:rPr>
        <w:t>可以先行报送）。2.</w:t>
      </w:r>
      <w:r>
        <w:rPr>
          <w:rFonts w:hint="eastAsia" w:ascii="仿宋_GB2312" w:eastAsia="仿宋_GB2312"/>
          <w:sz w:val="24"/>
          <w:szCs w:val="24"/>
        </w:rPr>
        <w:t>参展</w:t>
      </w:r>
      <w:r>
        <w:rPr>
          <w:rFonts w:ascii="仿宋_GB2312" w:eastAsia="仿宋_GB2312"/>
          <w:sz w:val="24"/>
          <w:szCs w:val="24"/>
        </w:rPr>
        <w:t>形式主要包含</w:t>
      </w:r>
      <w:r>
        <w:rPr>
          <w:rFonts w:hint="eastAsia" w:ascii="仿宋_GB2312" w:eastAsia="仿宋_GB2312"/>
          <w:sz w:val="24"/>
          <w:szCs w:val="24"/>
        </w:rPr>
        <w:t>：实物</w:t>
      </w:r>
      <w:r>
        <w:rPr>
          <w:rFonts w:ascii="仿宋_GB2312" w:eastAsia="仿宋_GB2312"/>
          <w:sz w:val="24"/>
          <w:szCs w:val="24"/>
        </w:rPr>
        <w:t>产品</w:t>
      </w:r>
      <w:r>
        <w:rPr>
          <w:rFonts w:hint="eastAsia" w:ascii="仿宋_GB2312" w:eastAsia="仿宋_GB2312"/>
          <w:sz w:val="24"/>
          <w:szCs w:val="24"/>
        </w:rPr>
        <w:t>（具体</w:t>
      </w:r>
      <w:r>
        <w:rPr>
          <w:rFonts w:ascii="仿宋_GB2312" w:eastAsia="仿宋_GB2312"/>
          <w:sz w:val="24"/>
          <w:szCs w:val="24"/>
        </w:rPr>
        <w:t>写</w:t>
      </w:r>
      <w:r>
        <w:rPr>
          <w:rFonts w:hint="eastAsia" w:ascii="仿宋_GB2312" w:eastAsia="仿宋_GB2312"/>
          <w:sz w:val="24"/>
          <w:szCs w:val="24"/>
        </w:rPr>
        <w:t>明</w:t>
      </w:r>
      <w:r>
        <w:rPr>
          <w:rFonts w:ascii="仿宋_GB2312" w:eastAsia="仿宋_GB2312"/>
          <w:sz w:val="24"/>
          <w:szCs w:val="24"/>
        </w:rPr>
        <w:t>展品名称）、展板、视频资料等</w:t>
      </w:r>
      <w:r>
        <w:rPr>
          <w:rFonts w:hint="eastAsia" w:ascii="仿宋_GB2312" w:eastAsia="仿宋_GB2312"/>
          <w:sz w:val="24"/>
          <w:szCs w:val="24"/>
          <w:lang w:eastAsia="zh-CN"/>
        </w:rPr>
        <w:t>。</w:t>
      </w:r>
    </w:p>
    <w:p>
      <w:pPr>
        <w:keepNext w:val="0"/>
        <w:keepLines w:val="0"/>
        <w:pageBreakBefore w:val="0"/>
        <w:widowControl w:val="0"/>
        <w:kinsoku/>
        <w:wordWrap/>
        <w:overflowPunct/>
        <w:topLinePunct w:val="0"/>
        <w:bidi w:val="0"/>
        <w:spacing w:line="576" w:lineRule="exact"/>
        <w:ind w:right="0"/>
        <w:textAlignment w:val="auto"/>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hint="eastAsia"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13</w:t>
    </w:r>
    <w:r>
      <w:rPr>
        <w:rStyle w:val="7"/>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zZDA5YzY1ZTU4MTE3NmI5MWFiZGI2MDM5N2RjZGIifQ=="/>
  </w:docVars>
  <w:rsids>
    <w:rsidRoot w:val="2D5B626D"/>
    <w:rsid w:val="06F63951"/>
    <w:rsid w:val="257B5ECC"/>
    <w:rsid w:val="2D5B626D"/>
    <w:rsid w:val="43FC1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0"/>
  </w:style>
  <w:style w:type="character" w:styleId="8">
    <w:name w:val="Hyperlink"/>
    <w:unhideWhenUsed/>
    <w:qFormat/>
    <w:uiPriority w:val="99"/>
    <w:rPr>
      <w:color w:val="0563C1"/>
      <w:u w:val="single"/>
    </w:rPr>
  </w:style>
  <w:style w:type="paragraph" w:styleId="9">
    <w:name w:val="List Paragraph"/>
    <w:basedOn w:val="1"/>
    <w:qFormat/>
    <w:uiPriority w:val="34"/>
    <w:pPr>
      <w:ind w:firstLine="420" w:firstLineChars="200"/>
    </w:pPr>
  </w:style>
  <w:style w:type="paragraph" w:customStyle="1" w:styleId="1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1">
    <w:name w:val="标题 11"/>
    <w:basedOn w:val="1"/>
    <w:qFormat/>
    <w:uiPriority w:val="1"/>
    <w:pPr>
      <w:jc w:val="left"/>
      <w:outlineLvl w:val="1"/>
    </w:pPr>
    <w:rPr>
      <w:rFonts w:ascii="Microsoft JhengHei" w:hAnsi="Microsoft JhengHei" w:eastAsia="Microsoft JhengHei" w:cs="Times New Roman"/>
      <w:kern w:val="0"/>
      <w:sz w:val="44"/>
      <w:szCs w:val="4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2156</Words>
  <Characters>2223</Characters>
  <Lines>0</Lines>
  <Paragraphs>0</Paragraphs>
  <TotalTime>13</TotalTime>
  <ScaleCrop>false</ScaleCrop>
  <LinksUpToDate>false</LinksUpToDate>
  <CharactersWithSpaces>2223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2024-06-21T06:28:00Z</dcterms:created>
  <dc:creator>孟淑芳</dc:creator>
  <cp:lastModifiedBy>♀转角☆…</cp:lastModifiedBy>
  <dcterms:modified xsi:type="dcterms:W3CDTF">2024-06-26T06:46:38Z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0C5B192A2C0548139160650782A73F11</vt:lpwstr>
  </property>
</Properties>
</file>