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关于继续实施促进汽车、家电消费政策的通知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各区县人民政府，高新区、经济开发区、文昌湖区管委会，市政府有关部门，有关单位：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根据省商务厅等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4部门《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关于继续实施促进汽车、家电消费政策的通知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》要求，决定7月份继续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实施促进汽车、家电消费政策。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一、继续按照《关于印发〈“惠享淄博”汽车消费季活动实施方案〉的通知》（淄商务字〔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7月份</w:t>
      </w:r>
      <w:r>
        <w:rPr>
          <w:rFonts w:hint="eastAsia" w:ascii="仿宋_GB2312" w:hAnsi="仿宋_GB2312" w:eastAsia="仿宋_GB2312" w:cs="仿宋_GB2312"/>
          <w:sz w:val="32"/>
          <w:szCs w:val="32"/>
        </w:rPr>
        <w:t>在参与活动的淄博市汽车零售企业购置乘用车（二手车除外）的个人消费者，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按照上传云闪付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APP资料成功的先后顺序以云闪付红包形式发放消费券。汽车消费券在额度内，先到先得、领完为止；具体额度待省商务厅、省财政厅明确后另行通知。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上传资料截止2022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年10月31日，待额度领用完毕后，将及时向社会公布，云闪付APP不再受理资料上传。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参与企业、消费券种类、上传资料、资金来源等相关要求均不变。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关于促进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家电消费若干措施的通知》（淄商务字〔2022〕45号）和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关于促进家电消费若干措施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要求，7月份在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参与活动的淄博市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家电销售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家电的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本省居民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可在云闪付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APP领取消费券。支持范围在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电视、冰箱、洗衣机、空调四类商品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基础上，增加燃气灶、抽油烟机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类商品（以旧换新以此六类商品任意之一参加置换）。家电消费券分别于7月8日、14日、20日、26日上午10：00发放，有效期分别截止到7月13日、19日、25日、31日。7月1日至7月8日10：00之间购买家电，且在后期抢得消费券符合使用条件的，参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关于促进家电消费若干措施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执行，相关证明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材料于2022年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月31日前提报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参与企业、消费券种类、核销规则、以旧换新、资金来源等要求均不变。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淄博市商务局                 淄博市财政局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2022年7月7日</w:t>
      </w:r>
    </w:p>
    <w:p/>
    <w:sectPr>
      <w:pgSz w:w="11900" w:h="16838"/>
      <w:pgMar w:top="1440" w:right="1800" w:bottom="1440" w:left="1800" w:header="0" w:footer="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416B"/>
    <w:rsid w:val="0503457F"/>
    <w:rsid w:val="46A83B2C"/>
    <w:rsid w:val="77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222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2022-07-08T08:47:00Z</dcterms:created>
  <dc:creator>Administrator</dc:creator>
  <cp:lastModifiedBy>Administrator</cp:lastModifiedBy>
  <dcterms:modified xsi:type="dcterms:W3CDTF">2022-07-08T08:48:22Z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