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淄博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市商务局</w:t>
      </w:r>
      <w:r>
        <w:rPr>
          <w:rFonts w:hint="eastAsia" w:ascii="方正小标宋简体" w:eastAsia="方正小标宋简体"/>
          <w:color w:val="auto"/>
          <w:sz w:val="44"/>
          <w:szCs w:val="44"/>
        </w:rPr>
        <w:t>等4部门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color w:val="auto"/>
          <w:sz w:val="44"/>
          <w:szCs w:val="44"/>
        </w:rPr>
        <w:t>关于印发《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淄博市</w:t>
      </w:r>
      <w:r>
        <w:rPr>
          <w:rFonts w:hint="eastAsia" w:ascii="方正小标宋简体" w:eastAsia="方正小标宋简体"/>
          <w:color w:val="auto"/>
          <w:sz w:val="44"/>
          <w:szCs w:val="44"/>
        </w:rPr>
        <w:t>2025年家电以旧换新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实施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细则</w:t>
      </w:r>
      <w:r>
        <w:rPr>
          <w:rFonts w:hint="eastAsia" w:ascii="方正小标宋简体" w:eastAsia="方正小标宋简体"/>
          <w:color w:val="auto"/>
          <w:sz w:val="44"/>
          <w:szCs w:val="44"/>
        </w:rPr>
        <w:t>》的通知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各区县（功能区）商务、发展改革、财政、市场监管主管部门：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为深入贯彻落实党中央、国务院关于加力扩围实施“两新”政策部署，根据《山东省商务厅等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4部门关于印发〈山东省2025年家电以旧换新实施方案〉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的通知》（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"/>
        </w:rPr>
        <w:t>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商字〔202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号）要求，市商务局等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4部门制定了《淄博市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2025年家电以旧换新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细则》，现印发给你们。请进一步加强协同配合，按照职责抓好贯彻落实。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淄博市商务局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淄博市发展和改革委员会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淄博市财政局             淄博市市场监督管理局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2025年1月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黑体" w:hAnsi="黑体" w:eastAsia="方正小标宋简体" w:cs="黑体"/>
          <w:color w:val="auto"/>
          <w:szCs w:val="32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淄博市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家电以旧换新实施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kern w:val="2"/>
          <w:sz w:val="32"/>
          <w:szCs w:val="32"/>
        </w:rPr>
        <w:t>为深入贯彻党中央、国务院推动大规模设备更新和消费品以旧换新决策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eastAsia="zh"/>
        </w:rPr>
        <w:t>精神，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</w:rPr>
        <w:t>全面落实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eastAsia="zh-CN"/>
        </w:rPr>
        <w:t>《商务部等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eastAsia="zh-CN"/>
        </w:rPr>
        <w:t>部门办公厅关于做好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2025年家电以旧换新工作的通知》（商办流通函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</w:rPr>
        <w:t>〔202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</w:rPr>
        <w:t>〕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</w:rPr>
        <w:t>号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）、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《山东省商务厅等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4部门关于印发〈山东省2025年家电以旧换新实施方案〉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的通知》（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"/>
        </w:rPr>
        <w:t>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商字〔202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号）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要求，制定本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细则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32"/>
        </w:rPr>
        <w:t>一、</w:t>
      </w:r>
      <w:r>
        <w:rPr>
          <w:rFonts w:hint="eastAsia" w:ascii="黑体" w:hAnsi="黑体" w:eastAsia="黑体" w:cs="黑体"/>
          <w:color w:val="auto"/>
          <w:szCs w:val="32"/>
          <w:lang w:val="en-US" w:eastAsia="zh-CN"/>
        </w:rPr>
        <w:t>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1.补贴时间。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平台上线之日起实施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至2025年12月31日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2.补贴对象。具备完全民事行为能力的个人消费者。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3.补贴范围和标准。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个人消费者购买2级及以上能效或水效标准的电冰箱（含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冰吧、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冰柜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、冷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柜）、洗衣机（含洗烘一体机）、电视机（含激光电视、智慧屏）、空调（含家用中央空调、风管机）、电脑（限台式电脑和笔记本电脑，其中台式电脑主机和显示器为一套）、热水器（含燃气壁挂炉热水器）、家用灶具（含家用集成灶）、吸油烟机、净水器（含家用净水机）、洗碗机、微波炉、电饭煲（含电饭锅）12类家电商品给予补贴。补贴标准为上述商品最终销售价格的15%；对购买1级及以上能效或水效标准的商品，额外再给予商品最终销售价格5%的补贴</w:t>
      </w:r>
      <w:r>
        <w:rPr>
          <w:rFonts w:hint="eastAsia" w:ascii="仿宋_GB2312" w:cs="仿宋_GB2312"/>
          <w:color w:val="auto"/>
          <w:kern w:val="2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每位消费者每类商品可补贴1件（空调类商品最多补贴3件），每件补贴不超过2000元。</w:t>
      </w:r>
      <w:r>
        <w:rPr>
          <w:rFonts w:hint="eastAsia" w:ascii="仿宋_GB2312" w:cs="仿宋_GB2312"/>
          <w:color w:val="auto"/>
          <w:szCs w:val="32"/>
          <w:lang w:bidi="ar"/>
        </w:rPr>
        <w:t>2024年已享受某类家电产品以旧换新补贴的个人消费者，2025年购买同类家电产品可继续享受补贴。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二、补贴流程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1.通过云闪付</w:t>
      </w:r>
      <w:r>
        <w:rPr>
          <w:rFonts w:hint="eastAsia" w:ascii="仿宋_GB2312" w:hAnsi="黑体" w:cs="Times New Roman"/>
          <w:color w:val="auto"/>
          <w:sz w:val="32"/>
          <w:szCs w:val="32"/>
          <w:lang w:val="en-US" w:eastAsia="zh-CN"/>
        </w:rPr>
        <w:t>、微信等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APP搜索“鲁换新”小程序，选择“淄博市”专栏，填写实名信息，完成实名认证。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2.消费者实名认证后，</w:t>
      </w:r>
      <w:r>
        <w:rPr>
          <w:rFonts w:hint="eastAsia" w:ascii="仿宋_GB2312" w:hAnsi="黑体" w:cs="Times New Roman"/>
          <w:color w:val="auto"/>
          <w:sz w:val="32"/>
          <w:szCs w:val="32"/>
          <w:lang w:val="en-US" w:eastAsia="zh-CN"/>
        </w:rPr>
        <w:t>根据购买种类领取相应补贴券，最多可获得12个品类补贴券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3.消费者在政策期内可随时申领补贴资格，最多可领取3次</w:t>
      </w:r>
      <w:r>
        <w:rPr>
          <w:rFonts w:hint="eastAsia" w:ascii="仿宋_GB2312" w:hAnsi="黑体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每张补贴券有效期为3个自然日。使用其中一张补贴券后，该类家电对应的另一能效（水效）等级补贴券自动失效。发生退货、退款均占用一次购买名额，不可再次申领该退货品类补贴券。补贴券核销截止日期为202</w:t>
      </w:r>
      <w:r>
        <w:rPr>
          <w:rFonts w:hint="eastAsia" w:ascii="仿宋_GB2312" w:hAnsi="黑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年12月31日。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4.消费者前往参与活动的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政策参与主体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，购买政策适用商品，在订单支付前，向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政策参与主体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出示补贴券</w:t>
      </w:r>
      <w:r>
        <w:rPr>
          <w:rFonts w:hint="eastAsia" w:ascii="仿宋_GB2312" w:hAnsi="黑体" w:cs="Times New Roman"/>
          <w:color w:val="auto"/>
          <w:sz w:val="32"/>
          <w:szCs w:val="32"/>
          <w:lang w:val="en-US" w:eastAsia="zh-CN"/>
        </w:rPr>
        <w:t>资格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二维码，扫码使用。补贴资格领取人和实际付款人必须一致。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Cs w:val="32"/>
        </w:rPr>
        <w:t>主要任务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继续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开展家电以旧换新活动。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继续通过淄博市家电以旧换新平台实施。鼓励有合法资质的家电生产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</w:rPr>
        <w:t>、销售、回收、拆解等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各类企业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</w:rPr>
        <w:t>，积极参与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eastAsia="zh-CN"/>
        </w:rPr>
        <w:t>家电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</w:rPr>
        <w:t>以旧换新活动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家电“以旧换新”补贴资金采取消费者支付立减的方式进行补贴，补贴资金由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政策参与主体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先行垫付。</w:t>
      </w:r>
      <w:r>
        <w:rPr>
          <w:rFonts w:hint="eastAsia" w:ascii="仿宋_GB2312" w:hAnsi="仿宋_GB2312" w:cs="仿宋_GB2312"/>
          <w:color w:val="auto"/>
          <w:szCs w:val="32"/>
        </w:rPr>
        <w:t>家电产品自销售之日起，应在15日内完成送货（安装）及消费者签收。如消费者因房屋装修等特殊需求需延期送货，延期期限原则上最长不得超过90天，且延期后的送货时间不得超出活动结束日（2025年12月31日）后的15天范围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即本年度内销售的所有家电产品，均需在2026年1月15日前完成送货（安装）及消费者签收服务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不能按期完成送货（安装）及消费者签收的，不予拨付垫付资金。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消费者在购买补贴商品后退货退款的，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政策参与主体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应按照消费者实付金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额通过原支付渠道退款，退还消费者的款项不包含补贴资金。如退货时参与</w:t>
      </w:r>
      <w:r>
        <w:rPr>
          <w:rFonts w:hint="eastAsia" w:ascii="仿宋_GB2312" w:hAnsi="黑体" w:cs="Times New Roman"/>
          <w:color w:val="auto"/>
          <w:sz w:val="32"/>
          <w:szCs w:val="32"/>
          <w:lang w:val="en-US" w:eastAsia="zh-CN"/>
        </w:rPr>
        <w:t>主体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已收到补贴款，应在5个工作日内将所退商品的补贴资金退回至政府指定账户，否则取消继续参与活动的资格。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（二）强化平台建设。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指导家电以旧换新平台与省级家电以旧换新资格校验系统对接，按要求提报有关信息。平台包含商家报名及商品管理、补贴资格发放、补贴资格核销、数据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"/>
        </w:rPr>
        <w:t>汇总和统计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分析、数据安全维护等功能，以信息流技术集成家电以旧换新补贴资格受理、发放、核销的处理能力，适用于线上线下多模式、促销活动多场景，拓宽消费者参与家电以旧换新的支付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"/>
        </w:rPr>
        <w:t>方式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，满足补贴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"/>
        </w:rPr>
        <w:t>资格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发放、使用、管理一站式全流程服务需求。按上级要求及时上报用户信息、购买品类、商品价格、补贴金额等信息，实现补贴核验、数据反馈全流程闭环管理。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szCs w:val="32"/>
        </w:rPr>
        <w:t>）</w:t>
      </w:r>
      <w:r>
        <w:rPr>
          <w:rFonts w:hint="eastAsia" w:ascii="楷体_GB2312" w:hAnsi="Times New Roman" w:eastAsia="楷体_GB2312" w:cs="楷体_GB2312"/>
          <w:color w:val="auto"/>
          <w:kern w:val="2"/>
          <w:sz w:val="32"/>
          <w:szCs w:val="32"/>
          <w:lang w:val="en-US" w:eastAsia="zh-CN" w:bidi="ar"/>
        </w:rPr>
        <w:t>营造良好市场环境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各区县要指导</w:t>
      </w:r>
      <w:bookmarkStart w:id="0" w:name="OLE_LINK1"/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政策参与主体</w:t>
      </w:r>
      <w:bookmarkEnd w:id="0"/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诚信经营，公开承诺商品销售价格。鼓励参与主体开设家电以旧换新补贴专区，在显著位置公示家电以旧换新的国家补贴标准、额度及补贴性质。畅通消费者投诉渠道，严厉打击制售假冒伪劣商品行为，保护品牌方知识产权。支持政策参与主体联合生产企业、回收企业开展以旧换新促销活动，鼓励金融机构叠加优惠让利，</w:t>
      </w:r>
      <w:r>
        <w:rPr>
          <w:rFonts w:hint="eastAsia" w:ascii="仿宋_GB2312" w:hAnsi="仿宋_GB2312" w:cs="仿宋_GB2312"/>
          <w:color w:val="auto"/>
          <w:szCs w:val="32"/>
        </w:rPr>
        <w:t>形成政策“组合拳”。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对不履行价格承诺、“先涨价后打折”、向消费者转嫁补贴压力的，一经核实取消其参与活动资格，追缴国家补贴资金，情节严重的由相关执法部门依法查处。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eastAsia="zh-CN"/>
        </w:rPr>
        <w:t>四</w:t>
      </w:r>
      <w:r>
        <w:rPr>
          <w:rFonts w:hint="eastAsia" w:ascii="黑体" w:hAnsi="黑体" w:eastAsia="黑体" w:cs="黑体"/>
          <w:color w:val="auto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（一）完善组织领导。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市发展改革委负责综合协调，牵头做好超长期特别国债支持家电以旧换新资金分配。市商务局负责组织实施家电以旧换新工作，组织相关市场主体积极参与活动，做好补贴资金审核、兑付，加强资金使用监督和绩效管理。市财政局负责落实资金保障工作。市市场监管局负责换新家电产品质量和价格监管，依法查处政策参与主体制假售假、虚假宣传、价格欺诈等违法行为，保护消费者合法权益。各区县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商务主管部门做好政策宣传解读，组织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政策参与主体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开展宣传，营造浓厚氛围，引导消费者积极参与家电以旧换新。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）严格审核把关。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个人消费者参加以旧换新活动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必须提供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有效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身份证明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联系方式等必要信息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政策参与主体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必须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合法持证持照，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按要求提供所售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商品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品牌、品类、型号、商品条形码数字、购机发票、能效等级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"/>
        </w:rPr>
        <w:t>、商品价格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cs="仿宋_GB2312"/>
          <w:color w:val="auto"/>
          <w:sz w:val="32"/>
          <w:szCs w:val="32"/>
        </w:rPr>
        <w:t>补贴金额、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商品出库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"/>
        </w:rPr>
        <w:t>配送（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安装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"/>
        </w:rPr>
        <w:t>）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"/>
        </w:rPr>
        <w:t>消费者签收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等信息，形成严格闭环。市商务局对家电以旧换新资料进行审核，完成补贴资金审计及资金清算，根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/>
        </w:rPr>
        <w:t>据交易订单审核进度，及时发放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补贴</w:t>
      </w:r>
      <w:r>
        <w:rPr>
          <w:rFonts w:hint="eastAsia" w:ascii="仿宋_GB2312" w:cs="仿宋_GB2312"/>
          <w:color w:val="auto"/>
          <w:kern w:val="0"/>
          <w:sz w:val="32"/>
          <w:szCs w:val="32"/>
          <w:lang w:val="en-US" w:eastAsia="zh-CN" w:bidi="ar"/>
        </w:rPr>
        <w:t>资金，减轻销售方垫资压力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加强监督管理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各区县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要进一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步</w:t>
      </w:r>
      <w:r>
        <w:rPr>
          <w:rFonts w:hint="eastAsia" w:ascii="仿宋_GB2312" w:hAnsi="仿宋_GB2312" w:cs="仿宋_GB2312"/>
          <w:color w:val="auto"/>
          <w:sz w:val="32"/>
          <w:szCs w:val="32"/>
          <w:lang w:eastAsia="zh-CN"/>
        </w:rPr>
        <w:t>加强市场秩序监管，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采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val="en-US" w:eastAsia="zh-CN" w:bidi="ar"/>
        </w:rPr>
        <w:t>取有效措施掌握活动参与主体经营状况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eastAsia="zh-CN"/>
        </w:rPr>
        <w:t>依法遏制和打击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</w:rPr>
        <w:t>借机涨价、重复购买、大量囤货、骗补套补等行为，严防非法翻新、以次充好出售旧家电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</w:rPr>
        <w:t>发现存在利用不正当手段骗取补贴资金等违法行为，及时收回资金，严肃追究相关主体单位和责任人员的责任</w:t>
      </w:r>
      <w:r>
        <w:rPr>
          <w:rFonts w:hint="eastAsia" w:ascii="仿宋_GB2312" w:hAnsi="仿宋_GB2312" w:cs="仿宋_GB2312"/>
          <w:color w:val="auto"/>
          <w:szCs w:val="32"/>
          <w:lang w:eastAsia="zh"/>
        </w:rPr>
        <w:t>，涉嫌犯罪的移送司法机关追究刑事责任</w:t>
      </w:r>
      <w:r>
        <w:rPr>
          <w:rFonts w:hint="eastAsia" w:ascii="仿宋_GB2312" w:hAnsi="仿宋_GB2312" w:cs="仿宋_GB2312"/>
          <w:color w:val="auto"/>
          <w:kern w:val="2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5514B"/>
    <w:rsid w:val="2D2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2025-01-27T07:41:00Z</dcterms:created>
  <dc:creator>阎路翔</dc:creator>
  <cp:lastModifiedBy>阎路翔</cp:lastModifiedBy>
  <dcterms:modified xsi:type="dcterms:W3CDTF">2025-01-27T07:42:40Z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62814617375A453F8805E6E65518035D</vt:lpwstr>
  </property>
</Properties>
</file>